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8" w:rsidRDefault="002E28C8" w:rsidP="002E28C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72094215" r:id="rId7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ПРОЕКТ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2E28C8" w:rsidRDefault="002E28C8" w:rsidP="002E28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2E28C8" w:rsidP="002E28C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_____.11.2017 года   № _____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2019-2020 годов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</w:t>
      </w: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областном </w:t>
      </w: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проектом решения Собрания депутатов Белокалитвинского района «О бюджете Белокалитвинского района на 2018 год и на плановый период 2019 и 2020 годов» 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</w:t>
      </w:r>
      <w:r w:rsidRPr="002E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D4055E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местный бюджет) на 2018 год, определенные с учетом уровня инфляции, не превышающего 4,0 процентов (декабрь 2018 года к декабрю 2017 года):</w:t>
      </w:r>
    </w:p>
    <w:p w:rsidR="002E28C8" w:rsidRPr="002E28C8" w:rsidRDefault="002E28C8" w:rsidP="002E28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22 483,4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22 483,4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2019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4 770,0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5) объем расходов на обслуживание муниципального долга Белокалитвинского района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6) прогнозируемый дефицит местного бюджета в сумме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0,0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годов, определенные с учетом уровня инфляции, не превышающего 4,0 процентов (декабрь 2019 года к декабрю 2018 года) и 4,0 процента (декабрь 2020 года к декабрю 2019 года) соответственно: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23 112,0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23 112,0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2020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0,0 тыс. рублей и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1 января 2021 года в сумме 0,0 тыс. рублей, в том числе верхний предел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4 701,5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4 809,0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8C8">
        <w:rPr>
          <w:rFonts w:ascii="Times New Roman" w:hAnsi="Times New Roman"/>
          <w:sz w:val="28"/>
          <w:szCs w:val="28"/>
          <w:lang w:eastAsia="ru-RU"/>
        </w:rPr>
        <w:t xml:space="preserve">5) объем расходов на обслуживание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hAnsi="Times New Roman"/>
          <w:sz w:val="28"/>
          <w:szCs w:val="28"/>
          <w:lang w:eastAsia="ru-RU"/>
        </w:rPr>
        <w:t>на 2019 год в сумме 0,0 тыс. рублей и на 2020 год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6) прогнозируемый дефицит местного бюджета на 2019 год в сумме 0,0 тыс. рублей и на 2020 год в сумме 0,0 тыс. рублей.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9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 согласно приложению 2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5. Утвердить: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самоуправления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согласно приложению 5 к настоящему решению.</w:t>
      </w:r>
    </w:p>
    <w:p w:rsidR="002E28C8" w:rsidRPr="002E28C8" w:rsidRDefault="00C82C41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1 580,0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E28C8" w:rsidRPr="002E28C8" w:rsidRDefault="00941B9D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 и 2020 годов согласно приложению 6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1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на2018 год и на плановый период 2019 и 2020 годов согласно приложению 7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Белокалитвинского района на 2018 год и на плановый период 2019 и 2020 годов согласно </w:t>
      </w:r>
      <w:hyperlink r:id="rId12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Default="00941B9D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распределение межбюджетных трансфертов,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 местного самоуправления 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941B9D" w:rsidRPr="00941B9D" w:rsidRDefault="00941B9D" w:rsidP="0094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 w:rsidR="00FC615D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lastRenderedPageBreak/>
        <w:t xml:space="preserve">возникающих при выполнении полномочий органов местного самоуправления по вопросам местного значения по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2018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 и 2020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Pr="00941B9D" w:rsidRDefault="002E28C8" w:rsidP="00941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</w:t>
      </w:r>
      <w:r w:rsidR="00FC615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0</w:t>
      </w: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 w:rsid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8</w:t>
      </w:r>
      <w:r w:rsidR="005E4CE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11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9 и 2</w:t>
      </w:r>
      <w:r w:rsidR="005E4CEF">
        <w:rPr>
          <w:rFonts w:ascii="Times New Roman" w:eastAsia="Times New Roman" w:hAnsi="Times New Roman"/>
          <w:bCs/>
          <w:sz w:val="28"/>
          <w:szCs w:val="28"/>
          <w:lang w:eastAsia="ru-RU"/>
        </w:rPr>
        <w:t>020 годов согласно приложению 12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2E28C8" w:rsidRPr="00792AB7" w:rsidRDefault="00FF0D13" w:rsidP="002E2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AB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со </w:t>
      </w:r>
      <w:hyperlink r:id="rId13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6 и </w:t>
      </w:r>
      <w:hyperlink r:id="rId14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br/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расходов за счет средств дорожного фонда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увеличение бюджетных ассигнований на оплату заключенных от имени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 на поставку</w:t>
      </w:r>
      <w:proofErr w:type="gramEnd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E28C8" w:rsidRPr="002E28C8" w:rsidRDefault="00792AB7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2E28C8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после официального опубликования, но не ранее 01 января 2018 года.</w:t>
      </w:r>
    </w:p>
    <w:p w:rsidR="00FF0D13" w:rsidRPr="00FF0D13" w:rsidRDefault="00792AB7" w:rsidP="00FF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D13" w:rsidRPr="00FF0D13">
        <w:rPr>
          <w:rFonts w:ascii="Times New Roman" w:eastAsia="Times New Roman" w:hAnsi="Times New Roman"/>
          <w:sz w:val="28"/>
          <w:szCs w:val="28"/>
          <w:lang w:eastAsia="ru-RU"/>
        </w:rPr>
        <w:t>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E28C8" w:rsidRPr="002E28C8" w:rsidRDefault="002E28C8" w:rsidP="00FF0D13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E28C8" w:rsidRPr="002E28C8" w:rsidTr="00D4055E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  <w:r w:rsidR="006B1B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</w:t>
            </w:r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ородского поселения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_____________</w:t>
            </w:r>
            <w:r w:rsidR="006620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Казаков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__ноября2017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28C8" w:rsidRPr="002E28C8" w:rsidRDefault="00FF0D13" w:rsidP="002E28C8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161EF" w:rsidRDefault="00D161EF"/>
    <w:p w:rsidR="00A07AC1" w:rsidRDefault="00A07AC1"/>
    <w:p w:rsidR="00A07AC1" w:rsidRDefault="00A07AC1"/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A07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ГОДОВ</w:t>
      </w:r>
    </w:p>
    <w:p w:rsidR="00A07AC1" w:rsidRDefault="00A07AC1"/>
    <w:tbl>
      <w:tblPr>
        <w:tblStyle w:val="a3"/>
        <w:tblW w:w="15478" w:type="dxa"/>
        <w:tblLook w:val="04A0" w:firstRow="1" w:lastRow="0" w:firstColumn="1" w:lastColumn="0" w:noHBand="0" w:noVBand="1"/>
      </w:tblPr>
      <w:tblGrid>
        <w:gridCol w:w="3369"/>
        <w:gridCol w:w="6663"/>
        <w:gridCol w:w="1842"/>
        <w:gridCol w:w="1842"/>
        <w:gridCol w:w="1762"/>
      </w:tblGrid>
      <w:tr w:rsidR="00FA4664" w:rsidRPr="00FA4664" w:rsidTr="00FA4664">
        <w:trPr>
          <w:trHeight w:val="360"/>
        </w:trPr>
        <w:tc>
          <w:tcPr>
            <w:tcW w:w="3369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6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22 483.4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66 754.9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23 112.0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9 540.0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9 403.0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9 618.0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8 689.4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8 546.6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8 751.3</w:t>
            </w:r>
          </w:p>
        </w:tc>
      </w:tr>
      <w:tr w:rsidR="00FA4664" w:rsidRPr="00FA4664" w:rsidTr="00FA4664">
        <w:trPr>
          <w:trHeight w:val="7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3 015.9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3 057.5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3 062.5</w:t>
            </w:r>
          </w:p>
        </w:tc>
      </w:tr>
      <w:tr w:rsidR="00FA4664" w:rsidRPr="00FA4664" w:rsidTr="00FA4664">
        <w:trPr>
          <w:trHeight w:val="117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16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246.3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66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FA466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FA4664" w:rsidRPr="00FA4664" w:rsidTr="00FA4664">
        <w:trPr>
          <w:trHeight w:val="15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</w:tr>
      <w:tr w:rsidR="00FA4664" w:rsidRPr="00FA4664" w:rsidTr="00FA4664">
        <w:trPr>
          <w:trHeight w:val="160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-51.1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4 837.0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4 559.6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4 755.2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10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4 387.0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4 398.0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4 432.1</w:t>
            </w:r>
          </w:p>
        </w:tc>
      </w:tr>
      <w:tr w:rsidR="00FA4664" w:rsidRPr="00FA4664" w:rsidTr="00FA4664">
        <w:trPr>
          <w:trHeight w:val="64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14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1 06 06043 13 0000 110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0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850.6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856.4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866.7</w:t>
            </w:r>
          </w:p>
        </w:tc>
      </w:tr>
      <w:tr w:rsidR="00FA4664" w:rsidRPr="00FA4664" w:rsidTr="00FA4664">
        <w:trPr>
          <w:trHeight w:val="121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693.9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7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1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1 16 90050 13 6000 140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8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5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48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8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2 02 30000 00 0000 151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1002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6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76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</w:tbl>
    <w:p w:rsidR="00A07AC1" w:rsidRDefault="00A07AC1"/>
    <w:p w:rsidR="00A07AC1" w:rsidRDefault="00A07AC1"/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7AC1" w:rsidRDefault="00A07AC1"/>
    <w:p w:rsidR="00545256" w:rsidRDefault="00545256"/>
    <w:p w:rsidR="00545256" w:rsidRDefault="00545256"/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7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5896"/>
        <w:gridCol w:w="1711"/>
        <w:gridCol w:w="1874"/>
        <w:gridCol w:w="1971"/>
      </w:tblGrid>
      <w:tr w:rsidR="00F5078C" w:rsidRPr="00F5078C" w:rsidTr="00F5078C">
        <w:trPr>
          <w:trHeight w:val="334"/>
        </w:trPr>
        <w:tc>
          <w:tcPr>
            <w:tcW w:w="33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87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97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283CBD">
        <w:trPr>
          <w:trHeight w:val="579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283CBD">
        <w:trPr>
          <w:trHeight w:val="54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2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5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9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4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83CBD" w:rsidRDefault="00283CBD">
      <w:pPr>
        <w:rPr>
          <w:rFonts w:ascii="Times New Roman" w:hAnsi="Times New Roman"/>
          <w:sz w:val="28"/>
          <w:szCs w:val="28"/>
        </w:rPr>
        <w:sectPr w:rsidR="00283CBD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«О бюджете</w:t>
      </w:r>
      <w:r>
        <w:rPr>
          <w:rFonts w:ascii="Times New Roman" w:eastAsia="Times New Roman" w:hAnsi="Times New Roman"/>
          <w:lang w:eastAsia="ru-RU"/>
        </w:rPr>
        <w:t xml:space="preserve"> 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 Белокалитвинского района на 2018 год 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0C0E1D" w:rsidRPr="000C0E1D" w:rsidTr="000C0E1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0C0E1D" w:rsidRPr="000C0E1D" w:rsidTr="000C0E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C0E1D" w:rsidRPr="000C0E1D" w:rsidTr="000C0E1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C0E1D" w:rsidRPr="000C0E1D" w:rsidTr="000C0E1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C0E1D" w:rsidRPr="000C0E1D" w:rsidTr="000C0E1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</w:tr>
      <w:tr w:rsidR="000C0E1D" w:rsidRPr="000C0E1D" w:rsidTr="000C0E1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C0E1D" w:rsidRPr="000C0E1D" w:rsidTr="000C0E1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C0E1D" w:rsidRPr="000C0E1D" w:rsidTr="000C0E1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C0E1D" w:rsidRPr="000C0E1D" w:rsidTr="000C0E1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C0E1D" w:rsidRPr="000C0E1D" w:rsidTr="000C0E1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C0E1D" w:rsidRPr="000C0E1D" w:rsidTr="000C0E1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C0E1D" w:rsidRPr="000C0E1D" w:rsidTr="000C0E1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</w:t>
            </w: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0C0E1D" w:rsidRPr="000C0E1D" w:rsidTr="000C0E1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C0E1D" w:rsidRPr="000C0E1D" w:rsidTr="000C0E1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E1D" w:rsidRPr="000C0E1D" w:rsidTr="000C0E1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0E1D" w:rsidRPr="000C0E1D" w:rsidTr="000C0E1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45256" w:rsidRDefault="00545256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</w:t>
      </w:r>
    </w:p>
    <w:p w:rsid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органов Ростовской области </w:t>
      </w:r>
    </w:p>
    <w:p w:rsidR="005D67DA" w:rsidRPr="00553448" w:rsidRDefault="005D67DA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3760"/>
        <w:gridCol w:w="5202"/>
      </w:tblGrid>
      <w:tr w:rsidR="00E74A44" w:rsidRPr="00E74A44" w:rsidTr="00E74A44">
        <w:trPr>
          <w:trHeight w:val="668"/>
        </w:trPr>
        <w:tc>
          <w:tcPr>
            <w:tcW w:w="160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6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E74A44" w:rsidRPr="00E74A44" w:rsidTr="00E74A44">
        <w:trPr>
          <w:trHeight w:val="52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2007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бюджеты</w:t>
            </w:r>
          </w:p>
        </w:tc>
      </w:tr>
      <w:tr w:rsidR="00E74A44" w:rsidRPr="00E74A44" w:rsidTr="00E74A44">
        <w:trPr>
          <w:trHeight w:val="31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F10CB9">
            <w:pPr>
              <w:ind w:hanging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F10C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88755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74A44" w:rsidRPr="00E74A44" w:rsidTr="00E74A44">
        <w:trPr>
          <w:trHeight w:val="46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7551" w:rsidRPr="00E74A44" w:rsidTr="005D67DA">
        <w:trPr>
          <w:trHeight w:val="1211"/>
        </w:trPr>
        <w:tc>
          <w:tcPr>
            <w:tcW w:w="160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F10C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5D67DA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67DA" w:rsidRDefault="005D67DA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3A15F5" w:rsidRPr="003A15F5" w:rsidTr="003A15F5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3A15F5" w:rsidRPr="003A15F5" w:rsidTr="003A15F5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5F5" w:rsidRPr="003A15F5" w:rsidTr="003A15F5">
        <w:trPr>
          <w:trHeight w:val="323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3A15F5" w:rsidRDefault="003A15F5" w:rsidP="003A15F5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  <w:sectPr w:rsidR="0090165C" w:rsidSect="005D67DA">
          <w:pgSz w:w="11906" w:h="16838"/>
          <w:pgMar w:top="624" w:right="851" w:bottom="567" w:left="709" w:header="709" w:footer="709" w:gutter="0"/>
          <w:cols w:space="708"/>
          <w:docGrid w:linePitch="360"/>
        </w:sectPr>
      </w:pP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90165C" w:rsidRPr="0090165C" w:rsidRDefault="0090165C" w:rsidP="00901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2268"/>
        <w:gridCol w:w="992"/>
        <w:gridCol w:w="1701"/>
        <w:gridCol w:w="1559"/>
        <w:gridCol w:w="1701"/>
      </w:tblGrid>
      <w:tr w:rsidR="00362FE7" w:rsidRPr="00F10CB9" w:rsidTr="00893A76">
        <w:trPr>
          <w:trHeight w:val="390"/>
        </w:trPr>
        <w:tc>
          <w:tcPr>
            <w:tcW w:w="5637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hideMark/>
          </w:tcPr>
          <w:p w:rsidR="00362FE7" w:rsidRPr="00F10CB9" w:rsidRDefault="00362FE7" w:rsidP="00362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362FE7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7 690.8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7 454.7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7 673.6</w:t>
            </w:r>
          </w:p>
        </w:tc>
      </w:tr>
      <w:tr w:rsidR="00F10CB9" w:rsidRPr="00F10CB9" w:rsidTr="00F10CB9">
        <w:trPr>
          <w:trHeight w:val="200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7 231.1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7 177.7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7 396.6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66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67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829.1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849.3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873.9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F10CB9" w:rsidRPr="00F10CB9" w:rsidTr="00F10CB9">
        <w:trPr>
          <w:trHeight w:val="42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F10CB9" w:rsidRPr="00F10CB9" w:rsidTr="00F10CB9">
        <w:trPr>
          <w:trHeight w:val="353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90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12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2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370.5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</w:tr>
      <w:tr w:rsidR="00F10CB9" w:rsidRPr="00F10CB9" w:rsidTr="00F10CB9">
        <w:trPr>
          <w:trHeight w:val="291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254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6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5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96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175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362FE7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54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государ-ственных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F10CB9" w:rsidRPr="00F10CB9" w:rsidTr="00F10CB9">
        <w:trPr>
          <w:trHeight w:val="133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508.9</w:t>
            </w:r>
          </w:p>
        </w:tc>
      </w:tr>
      <w:tr w:rsidR="00F10CB9" w:rsidRPr="00F10CB9" w:rsidTr="00362FE7">
        <w:trPr>
          <w:trHeight w:val="360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низацию деятельности аварийно-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</w:tr>
      <w:tr w:rsidR="00F10CB9" w:rsidRPr="00F10CB9" w:rsidTr="00362FE7">
        <w:trPr>
          <w:trHeight w:val="258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352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362FE7">
        <w:trPr>
          <w:trHeight w:val="368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5 112.3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49 270.5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5 218.1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44 626.9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68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4 722.3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4 643.6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4 828.1</w:t>
            </w:r>
          </w:p>
        </w:tc>
      </w:tr>
      <w:tr w:rsidR="00F10CB9" w:rsidRPr="00F10CB9" w:rsidTr="00362FE7">
        <w:trPr>
          <w:trHeight w:val="289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268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94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87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267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363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285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347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25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4B67E3" w:rsidRPr="004B67E3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Шолоховское городское поселение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893A76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«О бюджете </w:t>
      </w:r>
      <w:r w:rsidR="00893A76"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98459E" w:rsidRPr="0098459E" w:rsidTr="007D02CE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7D02CE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Pr="004B67E3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5876" w:type="dxa"/>
        <w:tblLook w:val="04A0" w:firstRow="1" w:lastRow="0" w:firstColumn="1" w:lastColumn="0" w:noHBand="0" w:noVBand="1"/>
      </w:tblPr>
      <w:tblGrid>
        <w:gridCol w:w="5920"/>
        <w:gridCol w:w="851"/>
        <w:gridCol w:w="122"/>
        <w:gridCol w:w="664"/>
        <w:gridCol w:w="27"/>
        <w:gridCol w:w="657"/>
        <w:gridCol w:w="31"/>
        <w:gridCol w:w="1947"/>
        <w:gridCol w:w="29"/>
        <w:gridCol w:w="775"/>
        <w:gridCol w:w="33"/>
        <w:gridCol w:w="1668"/>
        <w:gridCol w:w="33"/>
        <w:gridCol w:w="1385"/>
        <w:gridCol w:w="33"/>
        <w:gridCol w:w="1668"/>
        <w:gridCol w:w="33"/>
      </w:tblGrid>
      <w:tr w:rsidR="00893A76" w:rsidRPr="00893A76" w:rsidTr="0098459E">
        <w:trPr>
          <w:trHeight w:val="322"/>
        </w:trPr>
        <w:tc>
          <w:tcPr>
            <w:tcW w:w="5920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13" w:type="dxa"/>
            <w:gridSpan w:val="3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6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0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98459E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93A76" w:rsidRPr="00893A76" w:rsidTr="0098459E">
        <w:trPr>
          <w:trHeight w:val="322"/>
        </w:trPr>
        <w:tc>
          <w:tcPr>
            <w:tcW w:w="5920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A76" w:rsidRPr="00893A76" w:rsidTr="0098459E">
        <w:trPr>
          <w:trHeight w:val="334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trHeight w:val="1002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09 1 00 28270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55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10 2 00 28600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133.1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138.4</w:t>
            </w:r>
          </w:p>
        </w:tc>
      </w:tr>
      <w:tr w:rsidR="00893A76" w:rsidRPr="00893A76" w:rsidTr="0098459E">
        <w:trPr>
          <w:gridAfter w:val="1"/>
          <w:wAfter w:w="33" w:type="dxa"/>
          <w:trHeight w:val="3964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6 013.9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5 935.2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6 117.4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795.6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815.9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840.6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1.8</w:t>
            </w:r>
          </w:p>
        </w:tc>
      </w:tr>
      <w:tr w:rsidR="00893A76" w:rsidRPr="00893A76" w:rsidTr="0098459E">
        <w:trPr>
          <w:gridAfter w:val="1"/>
          <w:wAfter w:w="33" w:type="dxa"/>
          <w:trHeight w:val="339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 Шолоховского городского посел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финансами»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11 2 00 87030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261.7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ым мероприятиям в рамках  непро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99 9 00 72390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893A76" w:rsidRPr="00893A76" w:rsidTr="0098459E">
        <w:trPr>
          <w:gridAfter w:val="1"/>
          <w:wAfter w:w="33" w:type="dxa"/>
          <w:trHeight w:val="221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оховского городского поселения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99 9 00 87040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</w:tr>
      <w:tr w:rsidR="00893A76" w:rsidRPr="00893A76" w:rsidTr="0098459E">
        <w:trPr>
          <w:gridAfter w:val="1"/>
          <w:wAfter w:w="33" w:type="dxa"/>
          <w:trHeight w:val="100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99 9 00 98030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364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04 1 00 28140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68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05 1 00 28160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</w:tr>
      <w:tr w:rsidR="00893A76" w:rsidRPr="00893A76" w:rsidTr="0098459E">
        <w:trPr>
          <w:gridAfter w:val="1"/>
          <w:wAfter w:w="33" w:type="dxa"/>
          <w:trHeight w:val="332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</w:tr>
      <w:tr w:rsidR="00893A76" w:rsidRPr="00893A76" w:rsidTr="0098459E">
        <w:trPr>
          <w:gridAfter w:val="1"/>
          <w:wAfter w:w="33" w:type="dxa"/>
          <w:trHeight w:val="2829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963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товаров, работ и услуг для 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24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осуществление первичного воинского учета на территориях, где отсутст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вуют военные комиссариаты в рам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ках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непрограммных расходов государ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ственных органов Ростовской области 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99 9 00 51180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05 2 00 28180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453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ганизацию деятельности аварийно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05 2 00 87010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478.6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503.9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08 1 00 28230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703.7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</w:tr>
      <w:tr w:rsidR="00893A76" w:rsidRPr="00893A76" w:rsidTr="0098459E">
        <w:trPr>
          <w:gridAfter w:val="1"/>
          <w:wAfter w:w="33" w:type="dxa"/>
          <w:trHeight w:val="349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S3510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876.3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 2 00 S3160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44 236.9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03 1 00 99990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</w:tr>
      <w:tr w:rsidR="00893A76" w:rsidRPr="00893A76" w:rsidTr="0098459E">
        <w:trPr>
          <w:gridAfter w:val="1"/>
          <w:wAfter w:w="33" w:type="dxa"/>
          <w:trHeight w:val="337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12 1 00 28430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3 852.3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3 823.6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4 008.1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12 2 00 28440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12 3 00 28450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реализация</w:t>
            </w:r>
            <w:proofErr w:type="gram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12 3 00 28530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11 2 00 28610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28.4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2641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06 1 00 00590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6 109.6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6 315.7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6 585.1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06 2 00 87020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1 206.2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1 220.2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1 289.4</w:t>
            </w:r>
          </w:p>
        </w:tc>
      </w:tr>
      <w:tr w:rsidR="00893A76" w:rsidRPr="00893A76" w:rsidTr="0098459E">
        <w:trPr>
          <w:gridAfter w:val="1"/>
          <w:wAfter w:w="33" w:type="dxa"/>
          <w:trHeight w:val="328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01 1 00 28010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</w:tr>
      <w:tr w:rsidR="00893A76" w:rsidRPr="00893A76" w:rsidTr="0098459E">
        <w:trPr>
          <w:gridAfter w:val="1"/>
          <w:wAfter w:w="33" w:type="dxa"/>
          <w:trHeight w:val="226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акупки товаров, работ и услуг)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07 1 00 28220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</w:tbl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Pr="00545256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2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77"/>
      </w:tblGrid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7D02CE">
        <w:trPr>
          <w:trHeight w:val="43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1"/>
        <w:gridCol w:w="2206"/>
        <w:gridCol w:w="851"/>
        <w:gridCol w:w="567"/>
        <w:gridCol w:w="709"/>
        <w:gridCol w:w="1275"/>
        <w:gridCol w:w="1276"/>
        <w:gridCol w:w="1438"/>
      </w:tblGrid>
      <w:tr w:rsidR="007D02CE" w:rsidRPr="007D02CE" w:rsidTr="007D02CE">
        <w:trPr>
          <w:trHeight w:val="322"/>
        </w:trPr>
        <w:tc>
          <w:tcPr>
            <w:tcW w:w="754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38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7D02CE" w:rsidRPr="007D02CE" w:rsidTr="007D02CE">
        <w:trPr>
          <w:trHeight w:val="322"/>
        </w:trPr>
        <w:tc>
          <w:tcPr>
            <w:tcW w:w="754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02CE" w:rsidRPr="007D02CE" w:rsidTr="007D02CE">
        <w:trPr>
          <w:trHeight w:val="33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04 1 00 28140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484.5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489.6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514.9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ганизацию деятельности аварийно-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F83722">
        <w:trPr>
          <w:trHeight w:val="42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беспечения государственных (муниципальных) нужд)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городского посел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4 722.3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4 643.6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4 828.1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12 3 00 00000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12 3 00 28530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Непрограммные расходы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7D02C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="00F83722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F83722"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F83722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536999" w:rsidRPr="007D02CE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36999" w:rsidRP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</w:t>
      </w:r>
    </w:p>
    <w:p w:rsidR="00536999" w:rsidRPr="00F5620C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Белокалитвинского района на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и на плановый период 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1971,8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E7373" w:rsidRDefault="008E7373" w:rsidP="008E7373">
      <w:pPr>
        <w:rPr>
          <w:rFonts w:ascii="Times New Roman" w:hAnsi="Times New Roman"/>
          <w:sz w:val="28"/>
          <w:szCs w:val="28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8E7373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8E7373" w:rsidRPr="008E7373" w:rsidTr="00C20119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софинансирования расходных обязательств,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</w:tc>
      </w:tr>
      <w:tr w:rsidR="008E7373" w:rsidRPr="008E7373" w:rsidTr="00C20119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BD3241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8E7373" w:rsidRPr="008E7373" w:rsidTr="00C20119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373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BD3241" w:rsidRPr="00F6190F" w:rsidTr="00BD32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241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41582,6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2654,3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</w:tr>
    </w:tbl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8550E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«</w:t>
      </w: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08550E" w:rsidRPr="0008550E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550E" w:rsidRPr="0008550E" w:rsidTr="00C20119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8550E" w:rsidRPr="0008550E" w:rsidTr="00C20119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C71234" w:rsidRPr="007D02CE" w:rsidRDefault="0008550E" w:rsidP="00C712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__ ноября 2017 года № ___   </w:t>
      </w:r>
    </w:p>
    <w:p w:rsidR="00C71234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D431C" w:rsidRDefault="00C71234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  <w:r w:rsidR="002D431C" w:rsidRPr="007D02CE">
        <w:rPr>
          <w:rFonts w:ascii="Times New Roman" w:eastAsia="Times New Roman" w:hAnsi="Times New Roman"/>
          <w:lang w:eastAsia="ru-RU"/>
        </w:rPr>
        <w:t>и</w:t>
      </w:r>
    </w:p>
    <w:p w:rsidR="002D431C" w:rsidRPr="007D02CE" w:rsidRDefault="002D431C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2D431C" w:rsidRPr="007D02CE" w:rsidRDefault="002D431C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373" w:rsidRPr="002D431C" w:rsidRDefault="008E7373" w:rsidP="002D431C">
      <w:pPr>
        <w:pStyle w:val="a4"/>
        <w:rPr>
          <w:rFonts w:ascii="Times New Roman" w:hAnsi="Times New Roman"/>
          <w:sz w:val="28"/>
          <w:szCs w:val="28"/>
        </w:rPr>
      </w:pPr>
    </w:p>
    <w:p w:rsidR="00C71234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 w:rsidRPr="002D431C">
        <w:rPr>
          <w:rFonts w:ascii="Times New Roman" w:hAnsi="Times New Roman"/>
          <w:sz w:val="28"/>
          <w:szCs w:val="28"/>
        </w:rPr>
        <w:t>Председатель</w:t>
      </w:r>
    </w:p>
    <w:p w:rsidR="00C71234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депутатов-</w:t>
      </w:r>
    </w:p>
    <w:p w:rsidR="002D431C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71234" w:rsidRPr="00C71234" w:rsidTr="00C20119">
        <w:trPr>
          <w:trHeight w:val="276"/>
        </w:trPr>
        <w:tc>
          <w:tcPr>
            <w:tcW w:w="16410" w:type="dxa"/>
            <w:gridSpan w:val="17"/>
          </w:tcPr>
          <w:p w:rsidR="00C71234" w:rsidRPr="00C71234" w:rsidRDefault="00C71234" w:rsidP="00C7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 w:rsidR="00EA5BC2"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71234" w:rsidRPr="00C71234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71234" w:rsidRPr="00C71234" w:rsidTr="00C20119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71234" w:rsidRPr="00C71234" w:rsidTr="00C20119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34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B34CEB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71234" w:rsidRPr="00C71234" w:rsidTr="00C20119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C71234" w:rsidRPr="00C71234" w:rsidRDefault="00C71234" w:rsidP="00C71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34" w:rsidRDefault="00C71234" w:rsidP="005D67DA">
      <w:pPr>
        <w:rPr>
          <w:rFonts w:ascii="Times New Roman" w:hAnsi="Times New Roman"/>
          <w:sz w:val="28"/>
          <w:szCs w:val="28"/>
        </w:rPr>
      </w:pPr>
    </w:p>
    <w:sectPr w:rsidR="00C71234" w:rsidSect="002046BB">
      <w:pgSz w:w="16838" w:h="11906" w:orient="landscape"/>
      <w:pgMar w:top="709" w:right="624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D"/>
    <w:rsid w:val="0008550E"/>
    <w:rsid w:val="000C0E1D"/>
    <w:rsid w:val="001457AD"/>
    <w:rsid w:val="001F579C"/>
    <w:rsid w:val="002046BB"/>
    <w:rsid w:val="00274F8A"/>
    <w:rsid w:val="00283CBD"/>
    <w:rsid w:val="00294AD4"/>
    <w:rsid w:val="002D431C"/>
    <w:rsid w:val="002E28C8"/>
    <w:rsid w:val="00362FE7"/>
    <w:rsid w:val="003A15F5"/>
    <w:rsid w:val="004B67E3"/>
    <w:rsid w:val="00506BC3"/>
    <w:rsid w:val="00536999"/>
    <w:rsid w:val="005417AB"/>
    <w:rsid w:val="00545256"/>
    <w:rsid w:val="00553448"/>
    <w:rsid w:val="005971B8"/>
    <w:rsid w:val="005D67DA"/>
    <w:rsid w:val="005E4CEF"/>
    <w:rsid w:val="00662043"/>
    <w:rsid w:val="006B1B29"/>
    <w:rsid w:val="00792AB7"/>
    <w:rsid w:val="007B10FF"/>
    <w:rsid w:val="007D02CE"/>
    <w:rsid w:val="00840AD0"/>
    <w:rsid w:val="00887551"/>
    <w:rsid w:val="00893A76"/>
    <w:rsid w:val="008E7373"/>
    <w:rsid w:val="0090165C"/>
    <w:rsid w:val="00941B9D"/>
    <w:rsid w:val="0098459E"/>
    <w:rsid w:val="00A07AC1"/>
    <w:rsid w:val="00B34CEB"/>
    <w:rsid w:val="00BD3241"/>
    <w:rsid w:val="00C40713"/>
    <w:rsid w:val="00C71234"/>
    <w:rsid w:val="00C82C41"/>
    <w:rsid w:val="00CE665D"/>
    <w:rsid w:val="00D161EF"/>
    <w:rsid w:val="00D4055E"/>
    <w:rsid w:val="00E74A44"/>
    <w:rsid w:val="00EA5BC2"/>
    <w:rsid w:val="00F015D1"/>
    <w:rsid w:val="00F10CB9"/>
    <w:rsid w:val="00F5078C"/>
    <w:rsid w:val="00F5620C"/>
    <w:rsid w:val="00F83722"/>
    <w:rsid w:val="00FA4664"/>
    <w:rsid w:val="00FC615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ref=B0BE9BB6DC758A575EEBDC7D19D43E663099655EECD161F16763AFB29AA0E7DC527BFC251CC9tCyE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86;n=35957;fld=134;dst=1025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14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ref=B0BE9BB6DC758A575EEBDC7D19D43E663099655EECD161F16763AFB29AA0E7DC527BFC241AC4tC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E072-65D6-445D-8C9D-8C1C9AE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89</Pages>
  <Words>15742</Words>
  <Characters>89734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2017-11-13T11:33:00Z</cp:lastPrinted>
  <dcterms:created xsi:type="dcterms:W3CDTF">2017-11-10T06:26:00Z</dcterms:created>
  <dcterms:modified xsi:type="dcterms:W3CDTF">2017-11-13T13:04:00Z</dcterms:modified>
</cp:coreProperties>
</file>