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6765A0" w:rsidP="008C3580">
      <w:pPr>
        <w:spacing w:before="120"/>
        <w:ind w:left="7371" w:right="851" w:hanging="5358"/>
        <w:jc w:val="center"/>
        <w:rPr>
          <w:b/>
        </w:rPr>
      </w:pPr>
      <w:r w:rsidRPr="006765A0">
        <w:rPr>
          <w:noProof/>
          <w:sz w:val="28"/>
          <w:szCs w:val="28"/>
        </w:rPr>
        <w:drawing>
          <wp:inline distT="0" distB="0" distL="0" distR="0" wp14:anchorId="3A44A989" wp14:editId="7728BA51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451EC6" w:rsidRDefault="00451EC6" w:rsidP="00451EC6">
      <w:pPr>
        <w:pStyle w:val="af"/>
        <w:jc w:val="center"/>
        <w:rPr>
          <w:sz w:val="28"/>
          <w:szCs w:val="28"/>
        </w:rPr>
      </w:pPr>
    </w:p>
    <w:p w:rsidR="006765A0" w:rsidRPr="00451EC6" w:rsidRDefault="006765A0" w:rsidP="00451EC6">
      <w:pPr>
        <w:pStyle w:val="af"/>
        <w:jc w:val="center"/>
        <w:rPr>
          <w:b/>
          <w:sz w:val="28"/>
          <w:szCs w:val="28"/>
        </w:rPr>
      </w:pPr>
      <w:r w:rsidRPr="00451EC6">
        <w:rPr>
          <w:b/>
          <w:sz w:val="28"/>
          <w:szCs w:val="28"/>
        </w:rPr>
        <w:t>ПОСТАНОВЛЕНИЕ</w:t>
      </w:r>
    </w:p>
    <w:p w:rsidR="006765A0" w:rsidRPr="00451EC6" w:rsidRDefault="006765A0" w:rsidP="00451EC6">
      <w:pPr>
        <w:pStyle w:val="af"/>
        <w:jc w:val="center"/>
        <w:rPr>
          <w:sz w:val="28"/>
          <w:szCs w:val="28"/>
        </w:rPr>
      </w:pPr>
      <w:bookmarkStart w:id="0" w:name="Дата"/>
      <w:bookmarkEnd w:id="0"/>
      <w:r w:rsidRPr="00451EC6">
        <w:rPr>
          <w:sz w:val="28"/>
          <w:szCs w:val="28"/>
        </w:rPr>
        <w:t xml:space="preserve">от  </w:t>
      </w:r>
      <w:r w:rsidR="008C3580">
        <w:rPr>
          <w:sz w:val="28"/>
          <w:szCs w:val="28"/>
        </w:rPr>
        <w:t>03</w:t>
      </w:r>
      <w:r w:rsidRPr="00451EC6">
        <w:rPr>
          <w:sz w:val="28"/>
          <w:szCs w:val="28"/>
        </w:rPr>
        <w:t>.</w:t>
      </w:r>
      <w:r w:rsidR="00451EC6" w:rsidRPr="00451EC6">
        <w:rPr>
          <w:sz w:val="28"/>
          <w:szCs w:val="28"/>
        </w:rPr>
        <w:t>1</w:t>
      </w:r>
      <w:r w:rsidR="008C3580">
        <w:rPr>
          <w:sz w:val="28"/>
          <w:szCs w:val="28"/>
        </w:rPr>
        <w:t>2</w:t>
      </w:r>
      <w:r w:rsidRPr="00451EC6">
        <w:rPr>
          <w:sz w:val="28"/>
          <w:szCs w:val="28"/>
        </w:rPr>
        <w:t>.20</w:t>
      </w:r>
      <w:r w:rsidR="005B6C56" w:rsidRPr="00451EC6">
        <w:rPr>
          <w:sz w:val="28"/>
          <w:szCs w:val="28"/>
        </w:rPr>
        <w:t>2</w:t>
      </w:r>
      <w:r w:rsidR="00026014" w:rsidRPr="00451EC6">
        <w:rPr>
          <w:sz w:val="28"/>
          <w:szCs w:val="28"/>
        </w:rPr>
        <w:t>1</w:t>
      </w:r>
      <w:r w:rsidRPr="00451EC6">
        <w:rPr>
          <w:sz w:val="28"/>
          <w:szCs w:val="28"/>
        </w:rPr>
        <w:t xml:space="preserve"> № </w:t>
      </w:r>
      <w:r w:rsidR="008C3580">
        <w:rPr>
          <w:sz w:val="28"/>
          <w:szCs w:val="28"/>
        </w:rPr>
        <w:t>211</w:t>
      </w:r>
    </w:p>
    <w:p w:rsidR="006765A0" w:rsidRPr="00451EC6" w:rsidRDefault="00026125" w:rsidP="00451EC6">
      <w:pPr>
        <w:pStyle w:val="af"/>
        <w:jc w:val="center"/>
        <w:rPr>
          <w:sz w:val="28"/>
          <w:szCs w:val="28"/>
        </w:rPr>
      </w:pPr>
      <w:proofErr w:type="spellStart"/>
      <w:r w:rsidRPr="00451EC6">
        <w:rPr>
          <w:sz w:val="28"/>
          <w:szCs w:val="28"/>
        </w:rPr>
        <w:t>р.п</w:t>
      </w:r>
      <w:proofErr w:type="spellEnd"/>
      <w:r w:rsidRPr="00451EC6">
        <w:rPr>
          <w:sz w:val="28"/>
          <w:szCs w:val="28"/>
        </w:rPr>
        <w:t>. Шолоховский</w:t>
      </w:r>
    </w:p>
    <w:p w:rsidR="00026125" w:rsidRDefault="00026125" w:rsidP="006765A0">
      <w:pPr>
        <w:jc w:val="center"/>
        <w:rPr>
          <w:sz w:val="28"/>
          <w:szCs w:val="28"/>
        </w:rPr>
      </w:pPr>
    </w:p>
    <w:p w:rsidR="006765A0" w:rsidRDefault="00E3356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E24CCE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E24CCE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026125" w:rsidRDefault="00026125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</w:t>
      </w:r>
      <w:r w:rsidR="006765A0">
        <w:rPr>
          <w:sz w:val="28"/>
        </w:rPr>
        <w:t xml:space="preserve"> Глав</w:t>
      </w:r>
      <w:r w:rsidR="00765630">
        <w:rPr>
          <w:sz w:val="28"/>
        </w:rPr>
        <w:t>а</w:t>
      </w:r>
      <w:r w:rsidR="006765A0">
        <w:rPr>
          <w:sz w:val="28"/>
        </w:rPr>
        <w:t xml:space="preserve"> Администрации </w:t>
      </w:r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5B6C56">
        <w:rPr>
          <w:sz w:val="28"/>
        </w:rPr>
        <w:t xml:space="preserve"> городского поселения                      </w:t>
      </w:r>
      <w:r w:rsidR="00026125">
        <w:rPr>
          <w:sz w:val="28"/>
        </w:rPr>
        <w:t xml:space="preserve">          </w:t>
      </w:r>
      <w:r w:rsidR="005B6C56">
        <w:rPr>
          <w:sz w:val="28"/>
        </w:rPr>
        <w:t xml:space="preserve">           О.П. Снисаренко</w:t>
      </w:r>
    </w:p>
    <w:p w:rsidR="00451EC6" w:rsidRDefault="00451EC6" w:rsidP="006765A0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B6C56" w:rsidRDefault="005B6C56" w:rsidP="006765A0">
      <w:pPr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B6C56" w:rsidRDefault="005B6C56" w:rsidP="005B6C5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</w:t>
      </w:r>
      <w:r w:rsidR="008C3580">
        <w:rPr>
          <w:sz w:val="28"/>
        </w:rPr>
        <w:t>03</w:t>
      </w:r>
      <w:r>
        <w:rPr>
          <w:sz w:val="28"/>
        </w:rPr>
        <w:t>.</w:t>
      </w:r>
      <w:r w:rsidR="005B6C56">
        <w:rPr>
          <w:sz w:val="28"/>
        </w:rPr>
        <w:t xml:space="preserve"> </w:t>
      </w:r>
      <w:r w:rsidR="00183088">
        <w:rPr>
          <w:sz w:val="28"/>
        </w:rPr>
        <w:t>1</w:t>
      </w:r>
      <w:r w:rsidR="008C3580">
        <w:rPr>
          <w:sz w:val="28"/>
        </w:rPr>
        <w:t>2</w:t>
      </w:r>
      <w:bookmarkStart w:id="1" w:name="_GoBack"/>
      <w:bookmarkEnd w:id="1"/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</w:t>
      </w:r>
      <w:r w:rsidR="00026014">
        <w:rPr>
          <w:sz w:val="28"/>
        </w:rPr>
        <w:t>1</w:t>
      </w:r>
      <w:r>
        <w:rPr>
          <w:sz w:val="28"/>
        </w:rPr>
        <w:t xml:space="preserve"> </w:t>
      </w:r>
      <w:r w:rsidRPr="000F3274">
        <w:rPr>
          <w:sz w:val="28"/>
        </w:rPr>
        <w:t>№</w:t>
      </w:r>
      <w:r w:rsidR="006765A0">
        <w:rPr>
          <w:sz w:val="28"/>
        </w:rPr>
        <w:t xml:space="preserve"> </w:t>
      </w:r>
      <w:r w:rsidR="008C3580">
        <w:rPr>
          <w:sz w:val="28"/>
        </w:rPr>
        <w:t>211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AF434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</w:t>
            </w:r>
            <w:r w:rsidR="0000588A" w:rsidRPr="00E77A32">
              <w:rPr>
                <w:kern w:val="2"/>
                <w:sz w:val="28"/>
                <w:szCs w:val="28"/>
              </w:rPr>
              <w:t xml:space="preserve">составляет </w:t>
            </w:r>
            <w:r w:rsidR="00E77A32" w:rsidRPr="00E77A32">
              <w:rPr>
                <w:kern w:val="2"/>
                <w:sz w:val="28"/>
                <w:szCs w:val="28"/>
              </w:rPr>
              <w:t xml:space="preserve"> </w:t>
            </w:r>
            <w:r w:rsidR="00AF4348" w:rsidRPr="00E77A32">
              <w:rPr>
                <w:color w:val="000000"/>
                <w:sz w:val="28"/>
                <w:szCs w:val="28"/>
              </w:rPr>
              <w:t>92</w:t>
            </w:r>
            <w:r w:rsidR="00E77A32">
              <w:rPr>
                <w:color w:val="000000"/>
                <w:sz w:val="28"/>
                <w:szCs w:val="28"/>
              </w:rPr>
              <w:t xml:space="preserve"> </w:t>
            </w:r>
            <w:r w:rsidR="00AF4348" w:rsidRPr="00E77A32">
              <w:rPr>
                <w:color w:val="000000"/>
                <w:sz w:val="28"/>
                <w:szCs w:val="28"/>
              </w:rPr>
              <w:t>724,1</w:t>
            </w:r>
            <w:r w:rsidR="00E77A32">
              <w:rPr>
                <w:color w:val="000000"/>
                <w:sz w:val="28"/>
                <w:szCs w:val="28"/>
              </w:rPr>
              <w:t xml:space="preserve"> </w:t>
            </w:r>
            <w:r w:rsidR="0000588A" w:rsidRPr="00E77A32">
              <w:rPr>
                <w:kern w:val="2"/>
                <w:sz w:val="28"/>
                <w:szCs w:val="28"/>
              </w:rPr>
              <w:t>тыс. рублей, в том числе</w:t>
            </w:r>
            <w:r w:rsidR="0000588A" w:rsidRPr="001B5339">
              <w:rPr>
                <w:kern w:val="2"/>
                <w:sz w:val="28"/>
                <w:szCs w:val="28"/>
              </w:rPr>
              <w:t>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183088">
              <w:rPr>
                <w:kern w:val="2"/>
                <w:sz w:val="28"/>
                <w:szCs w:val="28"/>
              </w:rPr>
              <w:t>7965,7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AF4348">
              <w:rPr>
                <w:kern w:val="2"/>
                <w:sz w:val="28"/>
                <w:szCs w:val="28"/>
              </w:rPr>
              <w:t>7900,5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2023 год – </w:t>
            </w:r>
            <w:r w:rsidR="00AF4348">
              <w:rPr>
                <w:kern w:val="2"/>
                <w:sz w:val="28"/>
                <w:szCs w:val="28"/>
              </w:rPr>
              <w:t>8021,0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 w:rsidR="00AF4348">
              <w:rPr>
                <w:kern w:val="2"/>
                <w:sz w:val="28"/>
                <w:szCs w:val="28"/>
              </w:rPr>
              <w:t>8031,4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77A32">
              <w:rPr>
                <w:kern w:val="2"/>
                <w:sz w:val="28"/>
                <w:szCs w:val="28"/>
              </w:rPr>
              <w:t>92 724,1</w:t>
            </w:r>
            <w:r w:rsidR="00C133EF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183088">
              <w:rPr>
                <w:kern w:val="2"/>
                <w:sz w:val="28"/>
                <w:szCs w:val="28"/>
              </w:rPr>
              <w:t>7965,7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E77A32">
              <w:rPr>
                <w:kern w:val="2"/>
                <w:sz w:val="28"/>
                <w:szCs w:val="28"/>
              </w:rPr>
              <w:t>7900,5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02601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</w:t>
            </w:r>
            <w:r w:rsidR="00E77A32">
              <w:rPr>
                <w:kern w:val="2"/>
                <w:sz w:val="28"/>
                <w:szCs w:val="28"/>
              </w:rPr>
              <w:t>8021,0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 w:rsidR="00E77A32">
              <w:rPr>
                <w:kern w:val="2"/>
                <w:sz w:val="28"/>
                <w:szCs w:val="28"/>
              </w:rPr>
              <w:t>8031,4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ind w:firstLine="709"/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606"/>
        <w:gridCol w:w="1276"/>
        <w:gridCol w:w="1276"/>
        <w:gridCol w:w="2835"/>
        <w:gridCol w:w="2268"/>
        <w:gridCol w:w="1842"/>
      </w:tblGrid>
      <w:tr w:rsidR="00ED056F" w:rsidRPr="007F43E6" w:rsidTr="00A858C8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 xml:space="preserve">отдел экономики и финансов Администрации Шолоховского городского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 xml:space="preserve">я обеспечения </w:t>
            </w:r>
            <w:r w:rsidRPr="007F43E6">
              <w:rPr>
                <w:sz w:val="24"/>
                <w:szCs w:val="24"/>
              </w:rPr>
              <w:lastRenderedPageBreak/>
              <w:t>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 xml:space="preserve">контрактной </w:t>
            </w:r>
            <w:r w:rsidRPr="007F43E6">
              <w:rPr>
                <w:spacing w:val="-4"/>
                <w:sz w:val="24"/>
                <w:szCs w:val="24"/>
              </w:rPr>
              <w:lastRenderedPageBreak/>
              <w:t>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lastRenderedPageBreak/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A858C8" w:rsidRPr="007F43E6" w:rsidRDefault="00A858C8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A858C8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A858C8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1660"/>
        <w:gridCol w:w="1087"/>
        <w:gridCol w:w="407"/>
        <w:gridCol w:w="400"/>
        <w:gridCol w:w="742"/>
        <w:gridCol w:w="312"/>
        <w:gridCol w:w="835"/>
        <w:gridCol w:w="749"/>
        <w:gridCol w:w="749"/>
        <w:gridCol w:w="749"/>
        <w:gridCol w:w="747"/>
        <w:gridCol w:w="749"/>
        <w:gridCol w:w="749"/>
        <w:gridCol w:w="749"/>
        <w:gridCol w:w="747"/>
        <w:gridCol w:w="749"/>
        <w:gridCol w:w="749"/>
        <w:gridCol w:w="749"/>
        <w:gridCol w:w="749"/>
      </w:tblGrid>
      <w:tr w:rsidR="00ED056F" w:rsidRPr="007F43E6" w:rsidTr="00DD3C6C">
        <w:trPr>
          <w:tblHeader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DD3C6C"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E77A32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183088" w:rsidP="005C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E77A32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E77A32" w:rsidP="006C0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E77A32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77A32" w:rsidRPr="007F43E6" w:rsidTr="00DD3C6C"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32" w:rsidRPr="007F43E6" w:rsidRDefault="00E77A32" w:rsidP="007F43E6">
            <w:pPr>
              <w:rPr>
                <w:kern w:val="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32" w:rsidRPr="007F43E6" w:rsidRDefault="00E77A32" w:rsidP="007F43E6">
            <w:pPr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77A32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Default="00E77A32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77A32" w:rsidRPr="007F43E6" w:rsidTr="00DD3C6C">
        <w:trPr>
          <w:trHeight w:val="60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E77A32" w:rsidRPr="007F43E6" w:rsidRDefault="00E77A32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Default="00E77A32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DD3C6C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77A32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77A32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32" w:rsidRPr="007F43E6" w:rsidRDefault="00E77A32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32" w:rsidRPr="007F43E6" w:rsidRDefault="00E77A32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77A32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77A32" w:rsidRPr="007F43E6" w:rsidRDefault="00E77A32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77A32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32" w:rsidRPr="007F43E6" w:rsidRDefault="00E77A32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32" w:rsidRPr="007F43E6" w:rsidRDefault="00E77A32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92724,1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8C3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8C35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8031,4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DD3C6C" w:rsidRDefault="00E77A32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32" w:rsidRPr="007F43E6" w:rsidRDefault="00E77A32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94318">
      <w:footerReference w:type="even" r:id="rId10"/>
      <w:footerReference w:type="default" r:id="rId11"/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CF" w:rsidRDefault="00A078CF">
      <w:r>
        <w:separator/>
      </w:r>
    </w:p>
  </w:endnote>
  <w:endnote w:type="continuationSeparator" w:id="0">
    <w:p w:rsidR="00A078CF" w:rsidRDefault="00A0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80" w:rsidRPr="002C257A" w:rsidRDefault="008C3580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0669">
      <w:rPr>
        <w:rStyle w:val="ab"/>
        <w:noProof/>
      </w:rPr>
      <w:t>21</w:t>
    </w:r>
    <w:r>
      <w:rPr>
        <w:rStyle w:val="ab"/>
      </w:rPr>
      <w:fldChar w:fldCharType="end"/>
    </w:r>
  </w:p>
  <w:p w:rsidR="008C3580" w:rsidRPr="00366FC2" w:rsidRDefault="008C3580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80" w:rsidRDefault="008C35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580" w:rsidRDefault="008C358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80" w:rsidRPr="002C257A" w:rsidRDefault="008C358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0669">
      <w:rPr>
        <w:rStyle w:val="ab"/>
        <w:noProof/>
      </w:rPr>
      <w:t>28</w:t>
    </w:r>
    <w:r>
      <w:rPr>
        <w:rStyle w:val="ab"/>
      </w:rPr>
      <w:fldChar w:fldCharType="end"/>
    </w:r>
  </w:p>
  <w:p w:rsidR="008C3580" w:rsidRPr="002C257A" w:rsidRDefault="008C3580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CF" w:rsidRDefault="00A078CF">
      <w:r>
        <w:separator/>
      </w:r>
    </w:p>
  </w:footnote>
  <w:footnote w:type="continuationSeparator" w:id="0">
    <w:p w:rsidR="00A078CF" w:rsidRDefault="00A0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26014"/>
    <w:rsid w:val="00026125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83088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93869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1EC6"/>
    <w:rsid w:val="00453869"/>
    <w:rsid w:val="004563E9"/>
    <w:rsid w:val="004711EC"/>
    <w:rsid w:val="00480BC7"/>
    <w:rsid w:val="004871AA"/>
    <w:rsid w:val="00490C6D"/>
    <w:rsid w:val="00497931"/>
    <w:rsid w:val="004A0BFD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3671D"/>
    <w:rsid w:val="00553F24"/>
    <w:rsid w:val="005615B5"/>
    <w:rsid w:val="00566CE8"/>
    <w:rsid w:val="00587BF6"/>
    <w:rsid w:val="005B6C56"/>
    <w:rsid w:val="005C0D9A"/>
    <w:rsid w:val="005C5FF3"/>
    <w:rsid w:val="005E38CD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0669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C4353"/>
    <w:rsid w:val="007D0257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43A6F"/>
    <w:rsid w:val="00860E5A"/>
    <w:rsid w:val="0086459C"/>
    <w:rsid w:val="00867AB6"/>
    <w:rsid w:val="0088438E"/>
    <w:rsid w:val="00894318"/>
    <w:rsid w:val="008A1652"/>
    <w:rsid w:val="008A26EE"/>
    <w:rsid w:val="008B6AD3"/>
    <w:rsid w:val="008C3580"/>
    <w:rsid w:val="008E06DD"/>
    <w:rsid w:val="008F1544"/>
    <w:rsid w:val="00910044"/>
    <w:rsid w:val="009122B1"/>
    <w:rsid w:val="00913129"/>
    <w:rsid w:val="00913F5A"/>
    <w:rsid w:val="00917C70"/>
    <w:rsid w:val="00917EE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078CF"/>
    <w:rsid w:val="00A233EE"/>
    <w:rsid w:val="00A30E81"/>
    <w:rsid w:val="00A34804"/>
    <w:rsid w:val="00A67B50"/>
    <w:rsid w:val="00A858C8"/>
    <w:rsid w:val="00A941CF"/>
    <w:rsid w:val="00A95224"/>
    <w:rsid w:val="00AA3908"/>
    <w:rsid w:val="00AC6ECA"/>
    <w:rsid w:val="00AE2601"/>
    <w:rsid w:val="00AE7929"/>
    <w:rsid w:val="00AF4348"/>
    <w:rsid w:val="00AF704F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360A0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CE77BA"/>
    <w:rsid w:val="00D00358"/>
    <w:rsid w:val="00D020F1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D3C6C"/>
    <w:rsid w:val="00DE50C1"/>
    <w:rsid w:val="00E04378"/>
    <w:rsid w:val="00E138E0"/>
    <w:rsid w:val="00E24CCE"/>
    <w:rsid w:val="00E30B21"/>
    <w:rsid w:val="00E3132E"/>
    <w:rsid w:val="00E3356A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77A32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56A95"/>
    <w:rsid w:val="00F700FF"/>
    <w:rsid w:val="00F8225E"/>
    <w:rsid w:val="00F86418"/>
    <w:rsid w:val="00F9297B"/>
    <w:rsid w:val="00FA6611"/>
    <w:rsid w:val="00FB7E37"/>
    <w:rsid w:val="00FD0380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1098</TotalTime>
  <Pages>1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43</cp:revision>
  <cp:lastPrinted>2021-12-09T05:47:00Z</cp:lastPrinted>
  <dcterms:created xsi:type="dcterms:W3CDTF">2018-10-08T14:06:00Z</dcterms:created>
  <dcterms:modified xsi:type="dcterms:W3CDTF">2021-12-09T05:48:00Z</dcterms:modified>
</cp:coreProperties>
</file>